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9" w:beforeLines="80" w:after="156" w:afterLines="50" w:line="560" w:lineRule="exact"/>
        <w:jc w:val="center"/>
        <w:rPr>
          <w:rFonts w:hint="eastAsia" w:ascii="华文中宋" w:hAnsi="华文中宋" w:eastAsia="华文中宋"/>
          <w:b/>
          <w:bCs/>
          <w:color w:val="FF0000"/>
          <w:spacing w:val="40"/>
          <w:sz w:val="72"/>
          <w:szCs w:val="72"/>
        </w:rPr>
      </w:pPr>
    </w:p>
    <w:p>
      <w:pPr>
        <w:spacing w:before="249" w:beforeLines="80" w:after="156" w:afterLines="50" w:line="560" w:lineRule="exact"/>
        <w:jc w:val="center"/>
        <w:rPr>
          <w:rFonts w:ascii="华文中宋" w:hAnsi="华文中宋" w:eastAsia="华文中宋"/>
          <w:b/>
          <w:bCs/>
          <w:color w:val="FF0000"/>
          <w:spacing w:val="40"/>
          <w:sz w:val="72"/>
          <w:szCs w:val="72"/>
        </w:rPr>
      </w:pPr>
    </w:p>
    <w:p>
      <w:pPr>
        <w:spacing w:before="249" w:beforeLines="80" w:after="156" w:afterLines="50" w:line="560" w:lineRule="exact"/>
        <w:jc w:val="center"/>
        <w:rPr>
          <w:rFonts w:ascii="华文中宋" w:hAnsi="华文中宋" w:eastAsia="华文中宋"/>
          <w:b/>
          <w:bCs/>
          <w:color w:val="FF0000"/>
          <w:spacing w:val="40"/>
          <w:sz w:val="72"/>
          <w:szCs w:val="72"/>
        </w:rPr>
      </w:pPr>
    </w:p>
    <w:p>
      <w:pPr>
        <w:spacing w:before="249" w:beforeLines="80" w:after="156" w:afterLines="50" w:line="560" w:lineRule="exact"/>
        <w:jc w:val="center"/>
        <w:rPr>
          <w:rFonts w:ascii="华文中宋" w:hAnsi="华文中宋" w:eastAsia="华文中宋"/>
          <w:b/>
          <w:bCs/>
          <w:color w:val="FF0000"/>
          <w:spacing w:val="40"/>
          <w:sz w:val="72"/>
          <w:szCs w:val="72"/>
        </w:rPr>
      </w:pPr>
    </w:p>
    <w:p>
      <w:pPr>
        <w:spacing w:before="249" w:beforeLines="80" w:after="156" w:afterLines="50" w:line="560" w:lineRule="exact"/>
        <w:jc w:val="center"/>
        <w:rPr>
          <w:rFonts w:ascii="华文中宋" w:hAnsi="华文中宋" w:eastAsia="华文中宋"/>
          <w:b/>
          <w:bCs/>
          <w:color w:val="FF0000"/>
          <w:spacing w:val="40"/>
          <w:sz w:val="72"/>
          <w:szCs w:val="72"/>
        </w:rPr>
      </w:pPr>
      <w:r>
        <w:pict>
          <v:shape id="_x0000_s1026" o:spid="_x0000_s1026" o:spt="175" type="#_x0000_t175" style="position:absolute;left:0pt;margin-top:3.35pt;height:62.35pt;width:405.35pt;mso-position-horizontal:center;z-index:251658240;mso-width-relative:page;mso-height-relative:page;" fillcolor="#FF0000" filled="t" stroked="f" coordsize="21600,21600" adj="194">
            <v:path/>
            <v:fill on="t" focussize="0,0"/>
            <v:stroke on="f"/>
            <v:imagedata o:title=""/>
            <o:lock v:ext="edit" text="f"/>
            <v:textpath on="t" fitshape="t" fitpath="t" trim="t" xscale="f" string="海南股权交易中心有限责任公司文件" style="font-family:方正小标宋简体;font-size:36pt;font-weight:bold;v-text-align:center;"/>
          </v:shape>
        </w:pict>
      </w:r>
    </w:p>
    <w:p>
      <w:pPr>
        <w:spacing w:before="249" w:beforeLines="80" w:after="156" w:afterLines="50" w:line="560" w:lineRule="exact"/>
        <w:jc w:val="center"/>
        <w:rPr>
          <w:rFonts w:ascii="华文中宋" w:hAnsi="华文中宋" w:eastAsia="华文中宋"/>
          <w:b/>
          <w:bCs/>
          <w:color w:val="FF0000"/>
          <w:spacing w:val="40"/>
          <w:sz w:val="72"/>
          <w:szCs w:val="72"/>
        </w:rPr>
      </w:pPr>
    </w:p>
    <w:p>
      <w:pPr>
        <w:spacing w:line="240" w:lineRule="atLeast"/>
        <w:jc w:val="center"/>
        <w:rPr>
          <w:rFonts w:ascii="仿宋_GB2312" w:hAnsi="华文中宋" w:eastAsia="仿宋_GB2312"/>
          <w:bCs/>
          <w:color w:val="000000"/>
          <w:sz w:val="30"/>
          <w:szCs w:val="30"/>
        </w:rPr>
      </w:pPr>
    </w:p>
    <w:p>
      <w:pPr>
        <w:jc w:val="center"/>
        <w:rPr>
          <w:rFonts w:ascii="楷体_GB2312" w:hAnsi="楷体" w:eastAsia="楷体_GB2312"/>
          <w:bCs/>
          <w:color w:val="000000"/>
          <w:sz w:val="30"/>
          <w:szCs w:val="30"/>
        </w:rPr>
      </w:pPr>
      <w:r>
        <w:rPr>
          <w:rFonts w:hint="eastAsia" w:ascii="仿宋_GB2312" w:hAnsi="华文中宋" w:eastAsia="仿宋_GB2312"/>
          <w:bCs/>
          <w:color w:val="000000"/>
          <w:sz w:val="30"/>
          <w:szCs w:val="30"/>
        </w:rPr>
        <w:t>海交〔</w:t>
      </w:r>
      <w:r>
        <w:rPr>
          <w:rFonts w:ascii="仿宋_GB2312" w:hAnsi="华文中宋" w:eastAsia="仿宋_GB2312"/>
          <w:bCs/>
          <w:color w:val="000000"/>
          <w:sz w:val="30"/>
          <w:szCs w:val="30"/>
        </w:rPr>
        <w:t>201</w:t>
      </w:r>
      <w:r>
        <w:rPr>
          <w:rFonts w:hint="eastAsia" w:ascii="仿宋_GB2312" w:hAnsi="华文中宋" w:eastAsia="仿宋_GB2312"/>
          <w:bCs/>
          <w:color w:val="000000"/>
          <w:sz w:val="30"/>
          <w:szCs w:val="30"/>
        </w:rPr>
        <w:t>8〕</w:t>
      </w:r>
      <w:r>
        <w:rPr>
          <w:rFonts w:hint="eastAsia" w:ascii="仿宋_GB2312" w:hAnsi="华文中宋" w:eastAsia="仿宋_GB2312"/>
          <w:bCs/>
          <w:color w:val="000000"/>
          <w:sz w:val="30"/>
          <w:szCs w:val="30"/>
          <w:lang w:val="en-US" w:eastAsia="zh-CN"/>
        </w:rPr>
        <w:t>64</w:t>
      </w:r>
      <w:r>
        <w:rPr>
          <w:rFonts w:hint="eastAsia" w:ascii="仿宋_GB2312" w:hAnsi="华文中宋" w:eastAsia="仿宋_GB2312"/>
          <w:bCs/>
          <w:color w:val="000000"/>
          <w:sz w:val="30"/>
          <w:szCs w:val="30"/>
        </w:rPr>
        <w:t>号</w:t>
      </w:r>
    </w:p>
    <w:p>
      <w:pPr>
        <w:spacing w:line="240" w:lineRule="atLeast"/>
        <w:jc w:val="distribute"/>
        <w:rPr>
          <w:rFonts w:hint="eastAsia" w:ascii="华文宋体" w:hAnsi="华文宋体" w:eastAsia="华文宋体"/>
          <w:b/>
          <w:bCs/>
          <w:color w:val="FF0000"/>
          <w:spacing w:val="-10"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19050</wp:posOffset>
                </wp:positionV>
                <wp:extent cx="5763895" cy="190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63895" cy="190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top:1.5pt;height:0.15pt;width:453.85pt;mso-position-horizontal:center;z-index:251659264;mso-width-relative:page;mso-height-relative:page;" coordsize="21600,21600" o:gfxdata="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FTHYcvUAAAABAEAAA8A&#10;AAAAAAAAAQAgAAAAIgAAAGRycy9kb3ducmV2LnhtbFBLAQIUABQAAAAIAIdO4kBywSkq4gEAAKQD&#10;AAAOAAAAAAAAAAEAIAAAACMBAABkcnMvZTJvRG9jLnhtbFBLBQYAAAAABgAGAFkBAAB3BQAAAAA=&#10;">
                <v:path arrowok="t"/>
                <v:fill focussize="0,0"/>
                <v:stroke weight="1.5pt" color="#FF0000"/>
                <v:imagedata o:title=""/>
                <o:lock v:ext="edit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sz w:val="36"/>
          <w:szCs w:val="36"/>
        </w:rPr>
      </w:pPr>
    </w:p>
    <w:p>
      <w:pPr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海南股权交易中心有限责任公司</w:t>
      </w:r>
    </w:p>
    <w:p>
      <w:pPr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关于对海南迅达智能科技股份有限公司</w:t>
      </w:r>
    </w:p>
    <w:p>
      <w:pPr>
        <w:jc w:val="center"/>
        <w:rPr>
          <w:rFonts w:ascii="仿宋_GB2312" w:hAnsi="黑体" w:eastAsia="仿宋_GB2312"/>
          <w:sz w:val="30"/>
          <w:szCs w:val="30"/>
        </w:rPr>
      </w:pP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实施强制摘牌</w:t>
      </w:r>
      <w:r>
        <w:rPr>
          <w:rFonts w:hint="eastAsia" w:ascii="方正小标宋简体" w:hAnsi="黑体" w:eastAsia="方正小标宋简体"/>
          <w:sz w:val="36"/>
          <w:szCs w:val="36"/>
        </w:rPr>
        <w:t>的公告</w:t>
      </w:r>
    </w:p>
    <w:p>
      <w:pPr>
        <w:ind w:firstLine="600" w:firstLineChars="200"/>
        <w:rPr>
          <w:rFonts w:hint="eastAsia" w:ascii="仿宋_GB2312" w:hAnsi="黑体" w:eastAsia="仿宋_GB2312"/>
          <w:sz w:val="30"/>
          <w:szCs w:val="30"/>
        </w:rPr>
      </w:pPr>
    </w:p>
    <w:p>
      <w:pPr>
        <w:ind w:firstLine="600" w:firstLineChars="200"/>
        <w:rPr>
          <w:rFonts w:ascii="仿宋_GB2312" w:hAnsi="黑体" w:eastAsia="仿宋_GB2312"/>
          <w:sz w:val="30"/>
          <w:szCs w:val="30"/>
        </w:rPr>
      </w:pPr>
      <w:r>
        <w:rPr>
          <w:rFonts w:hint="eastAsia" w:ascii="仿宋_GB2312" w:hAnsi="黑体" w:eastAsia="仿宋_GB2312"/>
          <w:sz w:val="30"/>
          <w:szCs w:val="30"/>
        </w:rPr>
        <w:t>海南股权交易中心（以下简称“本中心”）根据《海南股权交易中心信息披露规则》的有关规定,</w:t>
      </w:r>
      <w:r>
        <w:rPr>
          <w:rFonts w:hint="eastAsia" w:ascii="仿宋_GB2312" w:hAnsi="黑体" w:eastAsia="仿宋_GB2312"/>
          <w:sz w:val="30"/>
          <w:szCs w:val="30"/>
          <w:lang w:val="en-US" w:eastAsia="zh-CN"/>
        </w:rPr>
        <w:t>对于</w:t>
      </w:r>
      <w:r>
        <w:rPr>
          <w:rFonts w:hint="eastAsia" w:ascii="仿宋_GB2312" w:hAnsi="黑体" w:eastAsia="仿宋_GB2312"/>
          <w:sz w:val="30"/>
          <w:szCs w:val="30"/>
        </w:rPr>
        <w:t>海南迅达智能科技股份有限公司（以下简称“迅达智能”）拒不履行信息披露义务、无故缺席本中心约谈提醒等</w:t>
      </w:r>
      <w:r>
        <w:rPr>
          <w:rFonts w:hint="eastAsia" w:ascii="仿宋_GB2312" w:hAnsi="黑体" w:eastAsia="仿宋_GB2312"/>
          <w:sz w:val="30"/>
          <w:szCs w:val="30"/>
          <w:lang w:val="en-US" w:eastAsia="zh-CN"/>
        </w:rPr>
        <w:t>违规行为</w:t>
      </w:r>
      <w:r>
        <w:rPr>
          <w:rFonts w:hint="eastAsia" w:ascii="仿宋_GB2312" w:hAnsi="黑体" w:eastAsia="仿宋_GB2312"/>
          <w:sz w:val="30"/>
          <w:szCs w:val="30"/>
          <w:lang w:eastAsia="zh-CN"/>
        </w:rPr>
        <w:t>，</w:t>
      </w:r>
      <w:r>
        <w:rPr>
          <w:rFonts w:hint="eastAsia" w:ascii="仿宋_GB2312" w:hAnsi="黑体" w:eastAsia="仿宋_GB2312"/>
          <w:sz w:val="30"/>
          <w:szCs w:val="30"/>
          <w:lang w:val="en-US" w:eastAsia="zh-CN"/>
        </w:rPr>
        <w:t>采取强制摘牌的自律管理措施</w:t>
      </w:r>
      <w:r>
        <w:rPr>
          <w:rFonts w:hint="eastAsia" w:ascii="仿宋_GB2312" w:hAnsi="黑体" w:eastAsia="仿宋_GB2312"/>
          <w:sz w:val="30"/>
          <w:szCs w:val="30"/>
        </w:rPr>
        <w:t>。</w:t>
      </w:r>
    </w:p>
    <w:p>
      <w:pPr>
        <w:ind w:firstLine="600" w:firstLineChars="200"/>
        <w:rPr>
          <w:rFonts w:ascii="仿宋_GB2312" w:hAnsi="黑体" w:eastAsia="仿宋_GB2312"/>
          <w:sz w:val="30"/>
          <w:szCs w:val="30"/>
        </w:rPr>
      </w:pPr>
      <w:r>
        <w:rPr>
          <w:rFonts w:hint="eastAsia" w:ascii="仿宋_GB2312" w:hAnsi="黑体" w:eastAsia="仿宋_GB2312"/>
          <w:sz w:val="30"/>
          <w:szCs w:val="30"/>
        </w:rPr>
        <w:t>迅达智能于2015年1月26日正式在本中心交易板挂牌。根据相关监管规定以及本中心信息披露制度，挂牌公司须</w:t>
      </w:r>
      <w:r>
        <w:rPr>
          <w:rFonts w:ascii="仿宋_GB2312" w:hAnsi="黑体" w:eastAsia="仿宋_GB2312"/>
          <w:sz w:val="30"/>
          <w:szCs w:val="30"/>
        </w:rPr>
        <w:t>在每个会计年度结束之日起四个月内编制并披露年度报告</w:t>
      </w:r>
      <w:r>
        <w:rPr>
          <w:rFonts w:hint="eastAsia" w:ascii="仿宋_GB2312" w:hAnsi="黑体" w:eastAsia="仿宋_GB2312"/>
          <w:sz w:val="30"/>
          <w:szCs w:val="30"/>
        </w:rPr>
        <w:t>。</w:t>
      </w:r>
      <w:r>
        <w:rPr>
          <w:rFonts w:hint="eastAsia" w:ascii="仿宋_GB2312" w:hAnsi="仿宋" w:eastAsia="仿宋_GB2312"/>
          <w:sz w:val="30"/>
        </w:rPr>
        <w:t>本中心自3 月 1 日起先后多次通知、提醒迅达智能在4月底前提交2017年度报告，迅达智能</w:t>
      </w:r>
      <w:r>
        <w:rPr>
          <w:rFonts w:hint="eastAsia" w:ascii="仿宋_GB2312" w:hAnsi="仿宋" w:eastAsia="仿宋_GB2312"/>
          <w:sz w:val="30"/>
          <w:lang w:val="en-US" w:eastAsia="zh-CN"/>
        </w:rPr>
        <w:t>仍</w:t>
      </w:r>
      <w:r>
        <w:rPr>
          <w:rFonts w:hint="eastAsia" w:ascii="仿宋_GB2312" w:hAnsi="仿宋" w:eastAsia="仿宋_GB2312"/>
          <w:sz w:val="30"/>
        </w:rPr>
        <w:t>未按时提交。</w:t>
      </w:r>
      <w:r>
        <w:rPr>
          <w:rFonts w:hint="eastAsia" w:ascii="仿宋_GB2312" w:hAnsi="黑体" w:eastAsia="仿宋_GB2312"/>
          <w:sz w:val="30"/>
          <w:szCs w:val="30"/>
        </w:rPr>
        <w:t>5月2日本中心向</w:t>
      </w:r>
      <w:r>
        <w:rPr>
          <w:rFonts w:hint="eastAsia" w:ascii="仿宋_GB2312" w:hAnsi="仿宋" w:eastAsia="仿宋_GB2312"/>
          <w:sz w:val="30"/>
        </w:rPr>
        <w:t>迅达智能</w:t>
      </w:r>
      <w:r>
        <w:rPr>
          <w:rFonts w:hint="eastAsia" w:ascii="仿宋_GB2312" w:hAnsi="黑体" w:eastAsia="仿宋_GB2312"/>
          <w:sz w:val="30"/>
          <w:szCs w:val="30"/>
        </w:rPr>
        <w:t>发出约谈函，5月7日发出警告函，</w:t>
      </w:r>
      <w:r>
        <w:rPr>
          <w:rFonts w:hint="eastAsia" w:ascii="仿宋_GB2312" w:hAnsi="黑体" w:eastAsia="仿宋_GB2312"/>
          <w:sz w:val="30"/>
          <w:szCs w:val="30"/>
          <w:lang w:val="en-US" w:eastAsia="zh-CN"/>
        </w:rPr>
        <w:t>6月4日进行通报批评，</w:t>
      </w:r>
      <w:r>
        <w:rPr>
          <w:rFonts w:hint="eastAsia" w:ascii="仿宋_GB2312" w:hAnsi="黑体" w:eastAsia="仿宋_GB2312"/>
          <w:sz w:val="30"/>
          <w:szCs w:val="30"/>
        </w:rPr>
        <w:t>均未得到回应。截止本公告出具之日</w:t>
      </w:r>
      <w:r>
        <w:rPr>
          <w:rFonts w:hint="eastAsia" w:ascii="仿宋_GB2312" w:hAnsi="仿宋" w:eastAsia="仿宋_GB2312"/>
          <w:sz w:val="30"/>
        </w:rPr>
        <w:t>迅达智能</w:t>
      </w:r>
      <w:r>
        <w:rPr>
          <w:rFonts w:hint="eastAsia" w:ascii="仿宋_GB2312" w:hAnsi="黑体" w:eastAsia="仿宋_GB2312"/>
          <w:sz w:val="30"/>
          <w:szCs w:val="30"/>
        </w:rPr>
        <w:t>仍未履行年报披露义务。鉴于</w:t>
      </w:r>
      <w:r>
        <w:rPr>
          <w:rFonts w:hint="eastAsia" w:ascii="仿宋_GB2312" w:hAnsi="黑体" w:eastAsia="仿宋_GB2312"/>
          <w:sz w:val="30"/>
          <w:szCs w:val="30"/>
          <w:lang w:val="en-US" w:eastAsia="zh-CN"/>
        </w:rPr>
        <w:t>该</w:t>
      </w:r>
      <w:r>
        <w:rPr>
          <w:rFonts w:hint="eastAsia" w:ascii="仿宋_GB2312" w:hAnsi="黑体" w:eastAsia="仿宋_GB2312"/>
          <w:sz w:val="30"/>
          <w:szCs w:val="30"/>
        </w:rPr>
        <w:t>公司不配合履行挂牌公司义务的行为已违反本中心相关制度，本中心做出以下决定：</w:t>
      </w:r>
    </w:p>
    <w:p>
      <w:pPr>
        <w:ind w:firstLine="600" w:firstLineChars="200"/>
        <w:rPr>
          <w:rFonts w:ascii="仿宋_GB2312" w:hAnsi="黑体" w:eastAsia="仿宋_GB2312"/>
          <w:sz w:val="30"/>
          <w:szCs w:val="30"/>
        </w:rPr>
      </w:pPr>
      <w:r>
        <w:rPr>
          <w:rFonts w:hint="eastAsia" w:ascii="仿宋_GB2312" w:hAnsi="黑体" w:eastAsia="仿宋_GB2312"/>
          <w:sz w:val="30"/>
          <w:szCs w:val="30"/>
        </w:rPr>
        <w:t>对海南迅达智能科技股份有限公司</w:t>
      </w:r>
      <w:r>
        <w:rPr>
          <w:rFonts w:hint="eastAsia" w:ascii="仿宋_GB2312" w:hAnsi="黑体" w:eastAsia="仿宋_GB2312"/>
          <w:sz w:val="30"/>
          <w:szCs w:val="30"/>
          <w:lang w:val="en-US" w:eastAsia="zh-CN"/>
        </w:rPr>
        <w:t>实施强制摘牌</w:t>
      </w:r>
      <w:r>
        <w:rPr>
          <w:rFonts w:hint="eastAsia" w:ascii="仿宋_GB2312" w:hAnsi="黑体" w:eastAsia="仿宋_GB2312"/>
          <w:sz w:val="30"/>
          <w:szCs w:val="30"/>
        </w:rPr>
        <w:t>。</w:t>
      </w:r>
    </w:p>
    <w:p>
      <w:pPr>
        <w:ind w:firstLine="600" w:firstLineChars="200"/>
        <w:rPr>
          <w:rFonts w:ascii="仿宋_GB2312" w:hAnsi="黑体" w:eastAsia="仿宋_GB2312"/>
          <w:sz w:val="30"/>
          <w:szCs w:val="30"/>
        </w:rPr>
      </w:pPr>
      <w:r>
        <w:rPr>
          <w:rFonts w:hint="eastAsia" w:ascii="仿宋_GB2312" w:hAnsi="黑体" w:eastAsia="仿宋_GB2312"/>
          <w:sz w:val="30"/>
          <w:szCs w:val="30"/>
        </w:rPr>
        <w:t>请投资者谨慎投资，注意投资风险。</w:t>
      </w:r>
    </w:p>
    <w:p>
      <w:pPr>
        <w:ind w:firstLine="600" w:firstLineChars="200"/>
        <w:rPr>
          <w:rFonts w:hint="eastAsia" w:ascii="仿宋_GB2312" w:hAnsi="黑体" w:eastAsia="仿宋_GB2312"/>
          <w:sz w:val="30"/>
          <w:szCs w:val="30"/>
        </w:rPr>
      </w:pPr>
      <w:r>
        <w:rPr>
          <w:rFonts w:hint="eastAsia" w:ascii="仿宋_GB2312" w:hAnsi="黑体" w:eastAsia="仿宋_GB2312"/>
          <w:sz w:val="30"/>
          <w:szCs w:val="30"/>
        </w:rPr>
        <w:t>特此公告。</w:t>
      </w:r>
    </w:p>
    <w:p>
      <w:pPr>
        <w:ind w:firstLine="600" w:firstLineChars="200"/>
        <w:rPr>
          <w:rFonts w:hint="eastAsia" w:ascii="仿宋_GB2312" w:hAnsi="黑体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黑体" w:eastAsia="仿宋_GB2312"/>
          <w:sz w:val="30"/>
          <w:szCs w:val="30"/>
        </w:rPr>
      </w:pPr>
    </w:p>
    <w:p>
      <w:pPr>
        <w:jc w:val="right"/>
        <w:rPr>
          <w:rFonts w:ascii="仿宋_GB2312" w:hAnsi="黑体" w:eastAsia="仿宋_GB2312"/>
          <w:sz w:val="30"/>
          <w:szCs w:val="30"/>
        </w:rPr>
      </w:pPr>
      <w:r>
        <w:rPr>
          <w:rFonts w:hint="eastAsia" w:ascii="仿宋_GB2312" w:hAnsi="黑体" w:eastAsia="仿宋_GB2312"/>
          <w:sz w:val="30"/>
          <w:szCs w:val="30"/>
        </w:rPr>
        <w:t>海南股权交易中心有限责任公司</w:t>
      </w:r>
    </w:p>
    <w:p>
      <w:pPr>
        <w:wordWrap w:val="0"/>
        <w:jc w:val="right"/>
        <w:rPr>
          <w:rFonts w:hint="eastAsia" w:ascii="仿宋_GB2312" w:hAnsi="黑体" w:eastAsia="仿宋_GB2312"/>
          <w:sz w:val="30"/>
          <w:szCs w:val="30"/>
          <w:lang w:val="en-US" w:eastAsia="zh-CN"/>
        </w:rPr>
      </w:pPr>
      <w:r>
        <w:rPr>
          <w:rFonts w:ascii="仿宋_GB2312" w:hAnsi="黑体" w:eastAsia="仿宋_GB2312"/>
          <w:sz w:val="30"/>
          <w:szCs w:val="30"/>
        </w:rPr>
        <w:t>201</w:t>
      </w:r>
      <w:r>
        <w:rPr>
          <w:rFonts w:hint="eastAsia" w:ascii="仿宋_GB2312" w:hAnsi="黑体" w:eastAsia="仿宋_GB2312"/>
          <w:sz w:val="30"/>
          <w:szCs w:val="30"/>
        </w:rPr>
        <w:t>8</w:t>
      </w:r>
      <w:r>
        <w:rPr>
          <w:rFonts w:ascii="仿宋_GB2312" w:hAnsi="黑体" w:eastAsia="仿宋_GB2312"/>
          <w:sz w:val="30"/>
          <w:szCs w:val="30"/>
        </w:rPr>
        <w:t>年</w:t>
      </w:r>
      <w:r>
        <w:rPr>
          <w:rFonts w:hint="eastAsia" w:ascii="仿宋_GB2312" w:hAnsi="黑体" w:eastAsia="仿宋_GB2312"/>
          <w:sz w:val="30"/>
          <w:szCs w:val="30"/>
          <w:lang w:val="en-US" w:eastAsia="zh-CN"/>
        </w:rPr>
        <w:t>7</w:t>
      </w:r>
      <w:r>
        <w:rPr>
          <w:rFonts w:ascii="仿宋_GB2312" w:hAnsi="黑体" w:eastAsia="仿宋_GB2312"/>
          <w:sz w:val="30"/>
          <w:szCs w:val="30"/>
        </w:rPr>
        <w:t>月</w:t>
      </w:r>
      <w:r>
        <w:rPr>
          <w:rFonts w:hint="eastAsia" w:ascii="仿宋_GB2312" w:hAnsi="黑体" w:eastAsia="仿宋_GB2312"/>
          <w:sz w:val="30"/>
          <w:szCs w:val="30"/>
          <w:lang w:val="en-US" w:eastAsia="zh-CN"/>
        </w:rPr>
        <w:t>23</w:t>
      </w:r>
      <w:r>
        <w:rPr>
          <w:rFonts w:ascii="仿宋_GB2312" w:hAnsi="黑体" w:eastAsia="仿宋_GB2312"/>
          <w:sz w:val="30"/>
          <w:szCs w:val="30"/>
        </w:rPr>
        <w:t>日</w:t>
      </w:r>
      <w:r>
        <w:rPr>
          <w:rFonts w:hint="eastAsia" w:ascii="仿宋_GB2312" w:hAnsi="黑体" w:eastAsia="仿宋_GB2312"/>
          <w:sz w:val="30"/>
          <w:szCs w:val="30"/>
          <w:lang w:val="en-US" w:eastAsia="zh-CN"/>
        </w:rPr>
        <w:t xml:space="preserve">    </w:t>
      </w:r>
      <w:bookmarkStart w:id="0" w:name="_GoBack"/>
      <w:bookmarkEnd w:id="0"/>
    </w:p>
    <w:p>
      <w:pPr>
        <w:wordWrap/>
        <w:jc w:val="left"/>
        <w:rPr>
          <w:rFonts w:hint="eastAsia" w:ascii="仿宋_GB2312" w:hAnsi="黑体" w:eastAsia="仿宋_GB2312"/>
          <w:sz w:val="30"/>
          <w:szCs w:val="30"/>
          <w:lang w:val="en-US" w:eastAsia="zh-CN"/>
        </w:rPr>
      </w:pPr>
    </w:p>
    <w:p>
      <w:pPr>
        <w:wordWrap/>
        <w:jc w:val="left"/>
        <w:rPr>
          <w:rFonts w:hint="eastAsia" w:ascii="仿宋_GB2312" w:hAnsi="黑体" w:eastAsia="仿宋_GB2312"/>
          <w:sz w:val="30"/>
          <w:szCs w:val="30"/>
          <w:lang w:val="en-US" w:eastAsia="zh-CN"/>
        </w:rPr>
      </w:pPr>
    </w:p>
    <w:p>
      <w:pPr>
        <w:wordWrap/>
        <w:jc w:val="left"/>
        <w:rPr>
          <w:rFonts w:hint="eastAsia" w:ascii="仿宋_GB2312" w:hAnsi="黑体" w:eastAsia="仿宋_GB2312"/>
          <w:sz w:val="30"/>
          <w:szCs w:val="30"/>
          <w:lang w:val="en-US" w:eastAsia="zh-CN"/>
        </w:rPr>
      </w:pPr>
    </w:p>
    <w:p>
      <w:pPr>
        <w:wordWrap/>
        <w:jc w:val="left"/>
        <w:rPr>
          <w:rFonts w:hint="eastAsia" w:ascii="仿宋_GB2312" w:hAnsi="黑体" w:eastAsia="仿宋_GB2312"/>
          <w:sz w:val="30"/>
          <w:szCs w:val="30"/>
          <w:lang w:val="en-US" w:eastAsia="zh-CN"/>
        </w:rPr>
      </w:pPr>
    </w:p>
    <w:p>
      <w:pPr>
        <w:wordWrap/>
        <w:jc w:val="left"/>
        <w:rPr>
          <w:rFonts w:hint="eastAsia" w:ascii="仿宋_GB2312" w:hAnsi="黑体" w:eastAsia="仿宋_GB2312"/>
          <w:sz w:val="30"/>
          <w:szCs w:val="30"/>
          <w:lang w:val="en-US" w:eastAsia="zh-CN"/>
        </w:rPr>
      </w:pPr>
    </w:p>
    <w:p>
      <w:pPr>
        <w:wordWrap/>
        <w:jc w:val="left"/>
        <w:rPr>
          <w:rFonts w:hint="eastAsia" w:ascii="仿宋_GB2312" w:hAnsi="黑体" w:eastAsia="仿宋_GB2312"/>
          <w:sz w:val="30"/>
          <w:szCs w:val="30"/>
          <w:lang w:val="en-US" w:eastAsia="zh-CN"/>
        </w:rPr>
      </w:pPr>
    </w:p>
    <w:p>
      <w:pPr>
        <w:ind w:firstLine="210" w:firstLineChars="1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394335</wp:posOffset>
                </wp:positionV>
                <wp:extent cx="5372100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1.05pt;height:0pt;width:423pt;z-index:251663360;mso-width-relative:page;mso-height-relative:page;" filled="f" stroked="t" coordsize="21600,21600" o:gfxdata="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0RlG6NUAAAAGAQAADwAAAAAA&#10;AAABACAAAAAiAAAAZHJzL2Rvd25yZXYueG1sUEsBAhQAFAAAAAgAh07iQJ09a1/dAQAApQMAAA4A&#10;AAAAAAAAAQAgAAAAJAEAAGRycy9lMm9Eb2MueG1sUEsFBgAAAAAGAAYAWQEAAHMFAAAAAA==&#10;">
                <v:path arrowok="t"/>
                <v:fill on="f" focussize="0,0"/>
                <v:stroke weight="1pt" joinstyle="round"/>
                <v:imagedata o:title=""/>
                <o:lock v:ext="edit" aspectratio="f"/>
              </v:line>
            </w:pict>
          </mc:Fallback>
        </mc:AlternateContent>
      </w:r>
      <w:r>
        <w:rPr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30480</wp:posOffset>
                </wp:positionV>
                <wp:extent cx="537210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.4pt;height:0pt;width:423pt;z-index:251662336;mso-width-relative:page;mso-height-relative:page;" filled="f" stroked="t" coordsize="21600,21600" o:gfxdata="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Edem/TAAAABAEAAA8AAAAAAAAA&#10;AQAgAAAAIgAAAGRycy9kb3ducmV2LnhtbFBLAQIUABQAAAAIAIdO4kBKSjaU3QEAAKUDAAAOAAAA&#10;AAAAAAEAIAAAACIBAABkcnMvZTJvRG9jLnhtbFBLBQYAAAAABgAGAFkBAABxBQAAAAA=&#10;">
                <v:path arrowok="t"/>
                <v:fill on="f" focussize="0,0"/>
                <v:stroke weight="1pt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宋体" w:eastAsia="仿宋_GB2312"/>
          <w:sz w:val="28"/>
          <w:szCs w:val="28"/>
        </w:rPr>
        <w:t xml:space="preserve">海南股权交易中心有限责任公司           </w:t>
      </w:r>
      <w:r>
        <w:rPr>
          <w:rFonts w:hint="eastAsia" w:ascii="仿宋_GB2312" w:hAnsi="仿宋" w:eastAsia="仿宋_GB2312"/>
          <w:sz w:val="28"/>
          <w:szCs w:val="28"/>
        </w:rPr>
        <w:t>2018年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仿宋" w:eastAsia="仿宋_GB2312"/>
          <w:sz w:val="28"/>
          <w:szCs w:val="28"/>
        </w:rPr>
        <w:t>月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26</w:t>
      </w:r>
      <w:r>
        <w:rPr>
          <w:rFonts w:hint="eastAsia" w:ascii="仿宋_GB2312" w:hAnsi="仿宋" w:eastAsia="仿宋_GB2312"/>
          <w:sz w:val="28"/>
          <w:szCs w:val="28"/>
        </w:rPr>
        <w:t xml:space="preserve">日印发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D420C"/>
    <w:rsid w:val="0BD4422D"/>
    <w:rsid w:val="0E062EBD"/>
    <w:rsid w:val="13A249CA"/>
    <w:rsid w:val="43ED420C"/>
    <w:rsid w:val="622A176B"/>
    <w:rsid w:val="6B5E7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用这个"/>
    <w:basedOn w:val="1"/>
    <w:next w:val="1"/>
    <w:qFormat/>
    <w:uiPriority w:val="99"/>
    <w:pPr>
      <w:autoSpaceDE w:val="0"/>
      <w:autoSpaceDN w:val="0"/>
      <w:adjustRightInd w:val="0"/>
      <w:spacing w:before="0" w:after="503"/>
      <w:ind w:left="0" w:firstLine="0" w:firstLineChars="0"/>
      <w:jc w:val="left"/>
    </w:pPr>
    <w:rPr>
      <w:rFonts w:ascii="黑体" w:hAnsi="黑体" w:eastAsia="华文中宋" w:cs="Times New Roman"/>
      <w:kern w:val="0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2018-05-18T02:43:00Z</dcterms:created>
  <dc:creator>龙佳欣</dc:creator>
  <cp:lastModifiedBy>卢诗婷</cp:lastModifiedBy>
  <dcterms:modified xsi:type="dcterms:W3CDTF">2018-07-26T01:14:05Z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